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A9" w:rsidRPr="00581DBA" w:rsidRDefault="00094DA9" w:rsidP="00094DA9">
      <w:pPr>
        <w:keepNext/>
        <w:suppressAutoHyphens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094DA9" w:rsidRPr="00581DBA" w:rsidRDefault="00094DA9" w:rsidP="00094DA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094DA9" w:rsidRPr="00581DBA" w:rsidRDefault="00094DA9" w:rsidP="00094DA9">
      <w:pPr>
        <w:tabs>
          <w:tab w:val="left" w:pos="90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ПОНОМАРЕВСКИЙ СЕЛЬСОВЕТ</w:t>
      </w:r>
    </w:p>
    <w:p w:rsidR="00094DA9" w:rsidRPr="00581DBA" w:rsidRDefault="00094DA9" w:rsidP="00094DA9">
      <w:pPr>
        <w:tabs>
          <w:tab w:val="left" w:pos="1125"/>
          <w:tab w:val="left" w:pos="150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ПОНОМАРЕВСКОГО РАЙОНА </w:t>
      </w:r>
      <w:r w:rsidRPr="0058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ОРЕНБУРГСКОЙ ОБЛАСТИ</w:t>
      </w:r>
    </w:p>
    <w:p w:rsidR="00094DA9" w:rsidRPr="00581DBA" w:rsidRDefault="00094DA9" w:rsidP="00094DA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DA9" w:rsidRPr="00581DBA" w:rsidRDefault="00094DA9" w:rsidP="00094DA9">
      <w:pPr>
        <w:tabs>
          <w:tab w:val="left" w:pos="12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94DA9" w:rsidRPr="00581DBA" w:rsidRDefault="00094DA9" w:rsidP="00094DA9">
      <w:pPr>
        <w:tabs>
          <w:tab w:val="left" w:pos="12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4DA9" w:rsidRPr="00581DBA" w:rsidRDefault="00094DA9" w:rsidP="00094DA9">
      <w:pPr>
        <w:tabs>
          <w:tab w:val="left" w:pos="220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04.12.2023                                                                                                     № 276-п</w:t>
      </w:r>
    </w:p>
    <w:p w:rsidR="00094DA9" w:rsidRPr="00581DBA" w:rsidRDefault="00094DA9" w:rsidP="00094DA9">
      <w:pPr>
        <w:tabs>
          <w:tab w:val="left" w:pos="220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Пономаревка</w:t>
      </w:r>
      <w:proofErr w:type="spellEnd"/>
    </w:p>
    <w:p w:rsidR="00094DA9" w:rsidRPr="00581DBA" w:rsidRDefault="00094DA9" w:rsidP="00094DA9">
      <w:pPr>
        <w:tabs>
          <w:tab w:val="left" w:pos="220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DA9" w:rsidRPr="00581DBA" w:rsidRDefault="00094DA9" w:rsidP="00094DA9">
      <w:pPr>
        <w:tabs>
          <w:tab w:val="left" w:pos="220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DA9" w:rsidRPr="00581DBA" w:rsidRDefault="00094DA9" w:rsidP="00094DA9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Об утверждении </w:t>
      </w:r>
      <w:r w:rsidRPr="00581DBA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</w:t>
      </w:r>
      <w:r w:rsidRPr="00581DBA">
        <w:rPr>
          <w:rFonts w:ascii="Times New Roman" w:eastAsiaTheme="minorEastAsia" w:hAnsi="Times New Roman" w:cs="Times New Roman"/>
          <w:b/>
          <w:color w:val="3A4256"/>
          <w:sz w:val="28"/>
          <w:szCs w:val="28"/>
          <w:shd w:val="clear" w:color="auto" w:fill="FFFFFF"/>
          <w:lang w:eastAsia="ru-RU"/>
        </w:rPr>
        <w:t xml:space="preserve"> муниципального образования Пономаревский сельсовет Пономаревского района Оренбургской области на 2024 год</w:t>
      </w:r>
    </w:p>
    <w:p w:rsidR="00094DA9" w:rsidRPr="00581DBA" w:rsidRDefault="00094DA9" w:rsidP="00094DA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94DA9" w:rsidRPr="00581DBA" w:rsidRDefault="00094DA9" w:rsidP="00094DA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94DA9" w:rsidRPr="00581DBA" w:rsidRDefault="00094DA9" w:rsidP="00094DA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Пономаревский сельсовет Пономаревского района Оренбургской области</w:t>
      </w:r>
      <w:r w:rsidRPr="00581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94DA9" w:rsidRPr="00581DBA" w:rsidRDefault="00094DA9" w:rsidP="00094DA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581DB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</w:t>
      </w:r>
      <w:r w:rsidRPr="00581DBA">
        <w:rPr>
          <w:rFonts w:ascii="Times New Roman" w:eastAsia="Times New Roman" w:hAnsi="Times New Roman" w:cs="Times New Roman"/>
          <w:bCs/>
          <w:color w:val="3A4256"/>
          <w:sz w:val="28"/>
          <w:szCs w:val="28"/>
          <w:shd w:val="clear" w:color="auto" w:fill="FFFFFF"/>
          <w:lang w:eastAsia="ru-RU"/>
        </w:rPr>
        <w:t xml:space="preserve"> муниципального образования Пономаревский сельсовет Пономаревского района Оренбургской области на 2024 год</w:t>
      </w:r>
      <w:r w:rsidRPr="00581DB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</w:p>
    <w:p w:rsidR="00094DA9" w:rsidRPr="00581DBA" w:rsidRDefault="00094DA9" w:rsidP="00094DA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2. Разместить настоящее постановление в сети интернет на официальном сайте администрации.</w:t>
      </w:r>
    </w:p>
    <w:p w:rsidR="00094DA9" w:rsidRPr="00581DBA" w:rsidRDefault="00094DA9" w:rsidP="00094DA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3. Настоящее постановление вступает в силу после его обнародования.</w:t>
      </w:r>
    </w:p>
    <w:p w:rsidR="00094DA9" w:rsidRPr="00581DBA" w:rsidRDefault="00094DA9" w:rsidP="00094DA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094DA9" w:rsidRPr="00581DBA" w:rsidRDefault="00094DA9" w:rsidP="00094DA9">
      <w:pPr>
        <w:suppressAutoHyphens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4DA9" w:rsidRPr="00581DBA" w:rsidRDefault="00094DA9" w:rsidP="00094DA9">
      <w:pPr>
        <w:suppressAutoHyphens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4DA9" w:rsidRPr="00581DBA" w:rsidRDefault="00094DA9" w:rsidP="00094DA9">
      <w:pPr>
        <w:suppressAutoHyphens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4DA9" w:rsidRPr="00581DBA" w:rsidRDefault="00094DA9" w:rsidP="00094DA9">
      <w:pPr>
        <w:suppressAutoHyphens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М.В. </w:t>
      </w:r>
      <w:proofErr w:type="spellStart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Барышев</w:t>
      </w:r>
      <w:proofErr w:type="spellEnd"/>
    </w:p>
    <w:p w:rsidR="00094DA9" w:rsidRPr="00581DBA" w:rsidRDefault="00094DA9" w:rsidP="00094D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A9" w:rsidRPr="00581DBA" w:rsidRDefault="00094DA9" w:rsidP="00094D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A9" w:rsidRPr="00581DBA" w:rsidRDefault="00094DA9" w:rsidP="00094D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A9" w:rsidRPr="00581DBA" w:rsidRDefault="00094DA9" w:rsidP="00094D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прокуратуру, сайт администрации.</w:t>
      </w: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9" w:rsidRDefault="007B1D7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A9" w:rsidRPr="00581DBA" w:rsidRDefault="00094DA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1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94DA9" w:rsidRPr="00581DBA" w:rsidRDefault="00094DA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94DA9" w:rsidRPr="00581DBA" w:rsidRDefault="00094DA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94DA9" w:rsidRPr="00581DBA" w:rsidRDefault="00094DA9" w:rsidP="00094DA9">
      <w:pPr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Пономаревский сельсовет </w:t>
      </w:r>
    </w:p>
    <w:p w:rsidR="00094DA9" w:rsidRPr="00581DBA" w:rsidRDefault="00094DA9" w:rsidP="00094D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04.12.2023 № 276-п</w:t>
      </w:r>
    </w:p>
    <w:p w:rsidR="00094DA9" w:rsidRPr="00581DBA" w:rsidRDefault="00094DA9" w:rsidP="00094DA9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Об утверждении </w:t>
      </w:r>
      <w:r w:rsidRPr="00581DBA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</w:t>
      </w:r>
      <w:r w:rsidRPr="00581DBA">
        <w:rPr>
          <w:rFonts w:ascii="Times New Roman" w:eastAsiaTheme="minorEastAsia" w:hAnsi="Times New Roman" w:cs="Times New Roman"/>
          <w:b/>
          <w:color w:val="3A4256"/>
          <w:sz w:val="28"/>
          <w:szCs w:val="28"/>
          <w:shd w:val="clear" w:color="auto" w:fill="FFFFFF"/>
          <w:lang w:eastAsia="ru-RU"/>
        </w:rPr>
        <w:t xml:space="preserve"> муниципального образования Пономаревский сельсовет Пономаревского района Оренбургской области на 2024 год</w:t>
      </w:r>
    </w:p>
    <w:p w:rsidR="00094DA9" w:rsidRPr="00581DBA" w:rsidRDefault="00094DA9" w:rsidP="00094DA9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81DB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94DA9" w:rsidRPr="00581DBA" w:rsidRDefault="00094DA9" w:rsidP="00094DA9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1.1. Настоящая программа разработана в соответствии со </w:t>
      </w:r>
      <w:proofErr w:type="spellStart"/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статьей</w:t>
      </w:r>
      <w:proofErr w:type="spellEnd"/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44 Федерального закона от 31 июля 2021 года № 248-ФЗ «О государственном контроле (надзоре) и муниципальном контроле в Российской Федерации» (далее –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 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</w:t>
      </w:r>
      <w:r w:rsidRPr="00581D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образования Пономаревский сельсовет Пономаревского района Оренбургской области</w:t>
      </w: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(далее - муниципальный земельный контроль),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</w:t>
      </w:r>
      <w:r w:rsidRPr="00581D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образования Пономаревский сельсовет Пономаревского района Оренбургской области</w:t>
      </w: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</w:t>
      </w:r>
      <w:r w:rsidRPr="00581D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образования Пономаревский сельсовет Пономаревского района Оренбургской области</w:t>
      </w: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является уполномоченным органом (далее – Администрация) по осуществлению муниципального земельного контроля на территории </w:t>
      </w:r>
      <w:r w:rsidRPr="00581DB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581D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образования Пономаревский сельсовет Пономаревского района Оренбургской области</w:t>
      </w:r>
      <w:r w:rsidRPr="00581DB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094DA9" w:rsidRPr="00581DBA" w:rsidRDefault="00094DA9" w:rsidP="00094DA9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2. Анализ текущего состояния осуществления вида контроля</w:t>
      </w:r>
    </w:p>
    <w:p w:rsidR="00094DA9" w:rsidRPr="00581DBA" w:rsidRDefault="00094DA9" w:rsidP="00094DA9">
      <w:pPr>
        <w:suppressAutoHyphens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2.1. Обязательные требования, оценка которых является предметом муниципального земельного контроля, установлены Земельным кодексом Российской Федерации.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земельного контроля, Администрация осуществляет контроль за соблюдением: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</w:t>
      </w:r>
      <w:proofErr w:type="spellStart"/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разрешенным</w:t>
      </w:r>
      <w:proofErr w:type="spellEnd"/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использованием;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2.2. Объектами муниципального земельного контроля являются земля как природный объект и природный ресурс, земельные участки, части земельных участков, расположенные на территории муниципального </w:t>
      </w:r>
      <w:r w:rsidRPr="00581D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образования Пономаревский сельсовет Пономаревского района Оренбургской области</w:t>
      </w:r>
      <w:r w:rsidR="00B2032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gramStart"/>
      <w:r w:rsidR="00B2032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которым </w:t>
      </w: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Земельным кодексом Российской Федерации</w:t>
      </w:r>
      <w:proofErr w:type="gramEnd"/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предъявляются обязательные требования.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2.3. Подконтрольными субъектами в рамках муниципального земельного контроля являются 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являющиеся правообладателями и (или) пользователями объектов муниципального земельного контроля.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2.4.  Муниципальный земельный контроль в 2021 году осуществлялся в в</w:t>
      </w:r>
      <w:r w:rsidR="00823EE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иде плановых рейдовых осмотров, в 2022 году не проводился.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Внеплановые проверки соблюдения земельного законодательства в отношении юридических лиц проводятся исключительно по основаниям, предусмотренным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в целях исполнения Постановления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плановые проверки </w:t>
      </w: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в отношении юридических лиц, индивидуальных предпринимателей исключены из ежегодного плана проверок. При осуществлении муниципального земельного контроля, Комитет взаимодействует с органами государственного земельного надзора.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утверждены постановлением Правительства Российской Федерации от 26 декабря 2014 года № 1515.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094DA9" w:rsidRPr="00581DBA" w:rsidRDefault="00094DA9" w:rsidP="00094DA9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3.Характеристика проблем, на решение которых направлена программа профилактики</w:t>
      </w:r>
    </w:p>
    <w:p w:rsidR="00094DA9" w:rsidRPr="00581DBA" w:rsidRDefault="00094DA9" w:rsidP="00094DA9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3.1. Основными проблемами, на решение которых направлена настоящая программа, являются: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 незнание подконтрольными субъектами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недополучение</w:t>
      </w:r>
      <w:proofErr w:type="spellEnd"/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бюджетом </w:t>
      </w:r>
      <w:r w:rsidRPr="00581DB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581DB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образования Пономаревский сельсовет Пономаревского района Оренбургской области</w:t>
      </w: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денежных средств от поступления земельного налога, арендных платежей за пользование земельными участками.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3.2. Путь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</w:t>
      </w:r>
    </w:p>
    <w:p w:rsidR="00094DA9" w:rsidRPr="00581DBA" w:rsidRDefault="00094DA9" w:rsidP="00094DA9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Раздел II. Цели и задачи реализации программы профилактики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4.1. Основными целями программы профилактики являются: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субъектами;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4.2. Проведение профилактических мероприятий программы профилактики направлено на решение следующих задач: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- оценка возможной угрозы причинения, либо причинения вреда жизни, здоровью граждан, выработка и реализация профилактических мер, способствующих </w:t>
      </w:r>
      <w:proofErr w:type="spellStart"/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снижению;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Раздел III. Перечень профилактических мероприятий, сроки (периодичность) их проведения</w:t>
      </w:r>
    </w:p>
    <w:tbl>
      <w:tblPr>
        <w:tblW w:w="94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253"/>
        <w:gridCol w:w="2277"/>
        <w:gridCol w:w="3331"/>
      </w:tblGrid>
      <w:tr w:rsidR="00094DA9" w:rsidRPr="00581DBA" w:rsidTr="00D360B5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094DA9" w:rsidRPr="00581DBA" w:rsidTr="00D360B5">
        <w:trPr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094DA9" w:rsidRPr="00581DBA" w:rsidRDefault="00094DA9" w:rsidP="00D360B5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муниципального образования Пономаревский сельсовет</w:t>
            </w:r>
          </w:p>
        </w:tc>
      </w:tr>
      <w:tr w:rsidR="00094DA9" w:rsidRPr="00581DBA" w:rsidTr="00D360B5">
        <w:trPr>
          <w:trHeight w:val="2090"/>
          <w:jc w:val="center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81D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Объявление предостережений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течении года при наличии оснований, предусмотренных </w:t>
            </w:r>
            <w:proofErr w:type="spellStart"/>
            <w:r w:rsidRPr="00581D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статьей</w:t>
            </w:r>
            <w:proofErr w:type="spellEnd"/>
            <w:r w:rsidRPr="00581D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49 Закона № 248-ФЗ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муниципального образования Пономаревский сельсовет</w:t>
            </w:r>
          </w:p>
        </w:tc>
      </w:tr>
      <w:tr w:rsidR="00094DA9" w:rsidRPr="00581DBA" w:rsidTr="00D360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муниципального образования Пономаревский сельсовет</w:t>
            </w:r>
          </w:p>
        </w:tc>
      </w:tr>
      <w:tr w:rsidR="00094DA9" w:rsidRPr="00581DBA" w:rsidTr="00D360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4DA9" w:rsidRPr="00581DBA" w:rsidRDefault="00094DA9" w:rsidP="00D360B5">
            <w:pPr>
              <w:suppressAutoHyphens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81D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муниципального образования Пономаревский сельсовет</w:t>
            </w:r>
          </w:p>
        </w:tc>
      </w:tr>
    </w:tbl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 Информирование осуществляет </w:t>
      </w: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Администрация, </w:t>
      </w: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</w:t>
      </w:r>
      <w:proofErr w:type="spellStart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посвященном</w:t>
      </w:r>
      <w:proofErr w:type="spellEnd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</w:t>
      </w: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контролируемых лиц в государственных информационных системах (при их наличии) и в иных формах.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Администрация, </w:t>
      </w: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обязана размещать и поддерживать в актуальном состоянии на официальном сайте администрации в специальном разделе, </w:t>
      </w:r>
      <w:proofErr w:type="spellStart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посвященном</w:t>
      </w:r>
      <w:proofErr w:type="spellEnd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Администрация, </w:t>
      </w: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вправе информировать население муниципального образования Пономаревский сельсовет, на собраниях и конференциях граждан об обязательных требованиях, предъявляемых к объектам контроля.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</w:t>
      </w: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муниципального образования Пономаревский </w:t>
      </w:r>
      <w:proofErr w:type="spellStart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ельсовет</w:t>
      </w:r>
      <w:proofErr w:type="spellEnd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</w:t>
      </w:r>
      <w:proofErr w:type="spellStart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утвержденной</w:t>
      </w:r>
      <w:proofErr w:type="spellEnd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Объявляемые предостережения о недопустимости нарушения обязательных требований регистрируются в журнале </w:t>
      </w:r>
      <w:proofErr w:type="spellStart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учета</w:t>
      </w:r>
      <w:proofErr w:type="spellEnd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предостережений с присвоением регистрационного номера.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</w:t>
      </w:r>
      <w:proofErr w:type="gramStart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рассматривается  в</w:t>
      </w:r>
      <w:proofErr w:type="gramEnd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5.3.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</w:t>
      </w:r>
      <w:proofErr w:type="spellStart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приеме</w:t>
      </w:r>
      <w:proofErr w:type="spellEnd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Личный </w:t>
      </w:r>
      <w:proofErr w:type="spellStart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</w:t>
      </w:r>
      <w:proofErr w:type="spellEnd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 проводится главой (заместителем главы) муниципального образования Пономаревский сельсовет (или) должностным лицом, уполномоченным осуществлять контроль. Информация о месте </w:t>
      </w:r>
      <w:proofErr w:type="spellStart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приема</w:t>
      </w:r>
      <w:proofErr w:type="spellEnd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об установленных для </w:t>
      </w:r>
      <w:proofErr w:type="spellStart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приема</w:t>
      </w:r>
      <w:proofErr w:type="spellEnd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днях и часах размещается на официальном сайте администрации в специальном разделе, </w:t>
      </w:r>
      <w:proofErr w:type="spellStart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посвященном</w:t>
      </w:r>
      <w:proofErr w:type="spellEnd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контрольной деятельности.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организация и осуществление земельного контроля;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порядок осуществления контрольных мероприятий, установленных Положением о земельном контроле;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порядок обжалования действий (бездействия) должностных лиц, уполномоченных осуществлять контроль;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ответ на поставленные вопросы требует дополнительного запроса сведений.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</w:t>
      </w:r>
      <w:proofErr w:type="spellStart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проведенных</w:t>
      </w:r>
      <w:proofErr w:type="spellEnd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рамках контрольного мероприятия экспертизы, испытаний.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Должностными лицами, уполномоченными осуществлять контроль, </w:t>
      </w:r>
      <w:proofErr w:type="spellStart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ведется</w:t>
      </w:r>
      <w:proofErr w:type="spellEnd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журнал </w:t>
      </w:r>
      <w:proofErr w:type="spellStart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учета</w:t>
      </w:r>
      <w:proofErr w:type="spellEnd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консультирований.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поступления в </w:t>
      </w: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Комитет, </w:t>
      </w: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</w:t>
      </w:r>
      <w:proofErr w:type="spellStart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посвященном</w:t>
      </w:r>
      <w:proofErr w:type="spellEnd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контрольной деятельности, письменного </w:t>
      </w: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разъяснения, подписанного главой (заместителем главы) муниципального района «</w:t>
      </w:r>
      <w:proofErr w:type="spellStart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Тунгокоченский</w:t>
      </w:r>
      <w:proofErr w:type="spellEnd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район», или должностным лицом, уполномоченным осуществлять контроль.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5.4. Профилактический визит проводится в форме профилактической беседы по месту осуществления деятельности контролируемого лица либо </w:t>
      </w:r>
      <w:proofErr w:type="spellStart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путем</w:t>
      </w:r>
      <w:proofErr w:type="spellEnd"/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использования видео-конференц-связи.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94DA9" w:rsidRPr="00581DBA" w:rsidRDefault="00094DA9" w:rsidP="00094DA9">
      <w:pPr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Раздел IV. Показатели результативности и эффективности программы профилактики</w:t>
      </w:r>
      <w:r w:rsidRPr="00581D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Ключевые показатели в сфере муниципального земельного контроля на территории муниципального образования Пономаревский сельсовет и их целевые значения: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показатели Целевые значения (%)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</w:t>
      </w:r>
      <w:proofErr w:type="spellStart"/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устраненных</w:t>
      </w:r>
      <w:proofErr w:type="spellEnd"/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обязательных требований от числа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 обязательных требований 70 - 80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0,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решений, принятых по результатам контрольных мероприятий, </w:t>
      </w:r>
      <w:proofErr w:type="spellStart"/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отмененных</w:t>
      </w:r>
      <w:proofErr w:type="spellEnd"/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контрольным органом и (или) судом, от общего количества решений 0.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Индикативные показатели в сфере муниципального земельного контроля в муниципальном образовании Пономаревский сельсовет: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количество </w:t>
      </w:r>
      <w:proofErr w:type="spellStart"/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proofErr w:type="spellEnd"/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муниципального контроля внеплановых контрольных мероприятий (указать количественные значения);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 (указать количественные значения);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выявленных органом муниципального контроля нарушений обязательных требований (указать количественные значения);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количество </w:t>
      </w:r>
      <w:proofErr w:type="spellStart"/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устраненных</w:t>
      </w:r>
      <w:proofErr w:type="spellEnd"/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обязательных требований (указать количественные значения);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количество поступивших возражений в отношении акта контрольного мероприятия (указать количественные значения);</w:t>
      </w:r>
    </w:p>
    <w:p w:rsidR="00094DA9" w:rsidRPr="00581DBA" w:rsidRDefault="00094DA9" w:rsidP="00094DA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количество выданных органом муниципального контроля предписаний об устранении нарушений обязательных требований (указать количественные значения).</w:t>
      </w:r>
    </w:p>
    <w:p w:rsidR="00094DA9" w:rsidRPr="00581DBA" w:rsidRDefault="00094DA9" w:rsidP="00094DA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581DBA">
        <w:rPr>
          <w:rFonts w:ascii="Times New Roman" w:eastAsia="Calibri" w:hAnsi="Times New Roman" w:cs="Times New Roman"/>
          <w:b/>
          <w:sz w:val="28"/>
          <w:szCs w:val="28"/>
        </w:rPr>
        <w:t>Показатели результативности и эффективности Программы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094DA9" w:rsidRPr="00581DBA" w:rsidTr="00D360B5">
        <w:trPr>
          <w:trHeight w:val="59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A9" w:rsidRPr="00581DBA" w:rsidRDefault="00094DA9" w:rsidP="00D3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B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A9" w:rsidRPr="00581DBA" w:rsidRDefault="00094DA9" w:rsidP="00D3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BA">
              <w:rPr>
                <w:rFonts w:ascii="Times New Roman" w:hAnsi="Times New Roman" w:cs="Times New Roman"/>
                <w:sz w:val="28"/>
                <w:szCs w:val="28"/>
              </w:rPr>
              <w:t>Исполнение показателя</w:t>
            </w:r>
          </w:p>
          <w:p w:rsidR="00094DA9" w:rsidRPr="00581DBA" w:rsidRDefault="00094DA9" w:rsidP="00D3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BA">
              <w:rPr>
                <w:rFonts w:ascii="Times New Roman" w:hAnsi="Times New Roman" w:cs="Times New Roman"/>
                <w:sz w:val="28"/>
                <w:szCs w:val="28"/>
              </w:rPr>
              <w:t>2024 год, %</w:t>
            </w:r>
          </w:p>
        </w:tc>
      </w:tr>
      <w:tr w:rsidR="00094DA9" w:rsidRPr="00581DBA" w:rsidTr="00D360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A9" w:rsidRPr="00581DBA" w:rsidRDefault="00094DA9" w:rsidP="00D3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DBA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</w:t>
            </w:r>
            <w:proofErr w:type="spellStart"/>
            <w:r w:rsidRPr="00581DBA">
              <w:rPr>
                <w:rFonts w:ascii="Times New Roman" w:hAnsi="Times New Roman" w:cs="Times New Roman"/>
                <w:sz w:val="28"/>
                <w:szCs w:val="28"/>
              </w:rPr>
              <w:t>размещенной</w:t>
            </w:r>
            <w:proofErr w:type="spellEnd"/>
            <w:r w:rsidRPr="00581DBA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сельского поселения со </w:t>
            </w:r>
            <w:proofErr w:type="spellStart"/>
            <w:r w:rsidRPr="00581DBA">
              <w:rPr>
                <w:rFonts w:ascii="Times New Roman" w:hAnsi="Times New Roman" w:cs="Times New Roman"/>
                <w:sz w:val="28"/>
                <w:szCs w:val="28"/>
              </w:rPr>
              <w:t>статьей</w:t>
            </w:r>
            <w:proofErr w:type="spellEnd"/>
            <w:r w:rsidRPr="00581DBA">
              <w:rPr>
                <w:rFonts w:ascii="Times New Roman" w:hAnsi="Times New Roman" w:cs="Times New Roman"/>
                <w:sz w:val="28"/>
                <w:szCs w:val="28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A9" w:rsidRPr="00581DBA" w:rsidRDefault="00094DA9" w:rsidP="00D3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B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94DA9" w:rsidRPr="00581DBA" w:rsidTr="00D360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A9" w:rsidRPr="00581DBA" w:rsidRDefault="00094DA9" w:rsidP="00D36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DBA">
              <w:rPr>
                <w:rFonts w:ascii="Times New Roman" w:hAnsi="Times New Roman" w:cs="Times New Roman"/>
                <w:sz w:val="28"/>
                <w:szCs w:val="28"/>
              </w:rPr>
              <w:t xml:space="preserve">Доля контролируемых лиц, </w:t>
            </w:r>
            <w:proofErr w:type="spellStart"/>
            <w:r w:rsidRPr="00581DBA">
              <w:rPr>
                <w:rFonts w:ascii="Times New Roman" w:hAnsi="Times New Roman" w:cs="Times New Roman"/>
                <w:sz w:val="28"/>
                <w:szCs w:val="28"/>
              </w:rPr>
              <w:t>удовлетворенных</w:t>
            </w:r>
            <w:proofErr w:type="spellEnd"/>
            <w:r w:rsidRPr="00581DBA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A9" w:rsidRPr="00581DBA" w:rsidRDefault="00094DA9" w:rsidP="00D36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B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392EBB" w:rsidRPr="00581DBA" w:rsidRDefault="00392EBB">
      <w:pPr>
        <w:rPr>
          <w:rFonts w:ascii="Times New Roman" w:hAnsi="Times New Roman" w:cs="Times New Roman"/>
          <w:sz w:val="28"/>
          <w:szCs w:val="28"/>
        </w:rPr>
      </w:pPr>
    </w:p>
    <w:sectPr w:rsidR="00392EBB" w:rsidRPr="00581DBA" w:rsidSect="007749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8B"/>
    <w:rsid w:val="00094DA9"/>
    <w:rsid w:val="000C0FD6"/>
    <w:rsid w:val="00392EBB"/>
    <w:rsid w:val="00581DBA"/>
    <w:rsid w:val="00592D98"/>
    <w:rsid w:val="0077494F"/>
    <w:rsid w:val="007B1D79"/>
    <w:rsid w:val="007F175C"/>
    <w:rsid w:val="00823EE4"/>
    <w:rsid w:val="00AB7C8B"/>
    <w:rsid w:val="00B2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2751"/>
  <w15:chartTrackingRefBased/>
  <w15:docId w15:val="{034A73F0-5ADF-4572-BB62-D5C349EC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A9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2023-12-04T11:00:00Z</cp:lastPrinted>
  <dcterms:created xsi:type="dcterms:W3CDTF">2023-12-04T10:42:00Z</dcterms:created>
  <dcterms:modified xsi:type="dcterms:W3CDTF">2023-12-04T11:01:00Z</dcterms:modified>
</cp:coreProperties>
</file>